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7956E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增加一个客户系统，也就是增加一个数据库数据源</w:t>
      </w:r>
    </w:p>
    <w:p w14:paraId="36FC2CD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数据库建库</w:t>
      </w:r>
    </w:p>
    <w:p w14:paraId="280518D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57450" cy="2514600"/>
            <wp:effectExtent l="0" t="0" r="0" b="0"/>
            <wp:docPr id="1" name="图片 1" descr="1734916215137_7EB2056B-43C1-4afb-930E-FB30F27F79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4916215137_7EB2056B-43C1-4afb-930E-FB30F27F795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76DA5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创建本客户系统数据库，并创建相应的数据库表。</w:t>
      </w:r>
    </w:p>
    <w:p w14:paraId="25D819ED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全局配置文件(application-global.yml)</w:t>
      </w:r>
    </w:p>
    <w:p w14:paraId="2D12520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找到pipIrr-global模块下的application-global.yml配置文件，并打开</w:t>
      </w:r>
    </w:p>
    <w:p w14:paraId="2D6ACEF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2152650"/>
            <wp:effectExtent l="0" t="0" r="9525" b="0"/>
            <wp:docPr id="2" name="图片 2" descr="1734916634649_7F6012BF-4822-4a28-B7C4-0E6D01555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34916634649_7F6012BF-4822-4a28-B7C4-0E6D015550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003E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不同的客户系统，也就是不同的数据源，需要用不同的中间件接受上报过来的数据，修改一个没有被占用的端口号，作为本客户系统中间件的端口号（内部模块访问中间件模块的端口号）</w:t>
      </w:r>
    </w:p>
    <w:p w14:paraId="0A9EF2F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960" cy="3034665"/>
            <wp:effectExtent l="0" t="0" r="8890" b="13335"/>
            <wp:docPr id="3" name="图片 3" descr="1734916905913_39FDEDC6-6CEF-4d1c-BB03-27F6F32978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4916905913_39FDEDC6-6CEF-4d1c-BB03-27F6F32978D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3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93AC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在下面，其他模块调用中间件的访问路径中，增加本客户系统中间件的访问路径</w:t>
      </w:r>
    </w:p>
    <w:p w14:paraId="25F3066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2405" cy="4332605"/>
            <wp:effectExtent l="0" t="0" r="4445" b="10795"/>
            <wp:docPr id="4" name="图片 4" descr="1734917194698_09A39AA2-18EC-4372-A999-F17B7DD872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34917194698_09A39AA2-18EC-4372-A999-F17B7DD8721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33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760E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再往下，钉钉消息推送配置中，增加本客户系统相应的配置</w:t>
      </w:r>
    </w:p>
    <w:p w14:paraId="2798286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400550" cy="3790950"/>
            <wp:effectExtent l="0" t="0" r="0" b="0"/>
            <wp:docPr id="5" name="图片 5" descr="1734917762920_053242CD-04D4-436c-9AF6-40696A681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34917762920_053242CD-04D4-436c-9AF6-40696A6817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EA7F0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最后，进行备份。(其他备份文件，中间件的访问路径、钉钉消息推送配置也做出相应增加)</w:t>
      </w:r>
    </w:p>
    <w:p w14:paraId="34ED747F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多数据源</w:t>
      </w:r>
    </w:p>
    <w:p w14:paraId="3D89D91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找到pipIrr-global模块下的application-database.yml配置文件，并打开</w:t>
      </w:r>
    </w:p>
    <w:p w14:paraId="5B11E61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865" cy="1207770"/>
            <wp:effectExtent l="0" t="0" r="6985" b="11430"/>
            <wp:docPr id="6" name="图片 6" descr="1734918069054_B0345E38-D1FC-422a-95A7-86EC64D97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34918069054_B0345E38-D1FC-422a-95A7-86EC64D9799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20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E1D65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增加本客户系统的数据源名称。</w:t>
      </w:r>
    </w:p>
    <w:p w14:paraId="3456DA04">
      <w:pPr>
        <w:rPr>
          <w:rFonts w:hint="eastAsia"/>
          <w:lang w:val="en-US" w:eastAsia="zh-CN"/>
        </w:rPr>
      </w:pPr>
    </w:p>
    <w:p w14:paraId="6E7B832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找到pipIrr-global模块下的application-database-ym.yml数据源配置文件，复制一份本客户系统的数据源配置文件application-database-mj.yml，并打开</w:t>
      </w:r>
    </w:p>
    <w:p w14:paraId="7183884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5420" cy="1680210"/>
            <wp:effectExtent l="0" t="0" r="11430" b="15240"/>
            <wp:docPr id="7" name="图片 7" descr="1734918825248_9931FE0C-51DA-4ea8-A9F9-5176D27B6F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34918825248_9931FE0C-51DA-4ea8-A9F9-5176D27B6F9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68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34A46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改成本客户系统的相关配置。</w:t>
      </w:r>
    </w:p>
    <w:p w14:paraId="03467293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系统初始化数据配置</w:t>
      </w:r>
    </w:p>
    <w:p w14:paraId="2EF2068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找到pipIrr-global模块下的init-config.xml配置文件，并打开</w:t>
      </w:r>
    </w:p>
    <w:p w14:paraId="792E665C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4566285"/>
            <wp:effectExtent l="0" t="0" r="10160" b="5715"/>
            <wp:docPr id="8" name="图片 8" descr="1734920147242_0D6EB0C8-01EC-4c16-BF31-A855CE6BFC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34920147242_0D6EB0C8-01EC-4c16-BF31-A855CE6BFC7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56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CECD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增加本客户系统的初始化数据。</w:t>
      </w:r>
    </w:p>
    <w:p w14:paraId="428DDDC9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中间件下的配置</w:t>
      </w:r>
    </w:p>
    <w:p w14:paraId="4B40962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找到pipIrr-mw模块下的config.xml配置文件，并打开</w:t>
      </w:r>
    </w:p>
    <w:p w14:paraId="78BCD03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7325" cy="4737100"/>
            <wp:effectExtent l="0" t="0" r="9525" b="6350"/>
            <wp:docPr id="10" name="图片 10" descr="1734921278736_40CDFC58-1B77-4de8-AC00-968BF391D1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34921278736_40CDFC58-1B77-4de8-AC00-968BF391D17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73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9E01E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最上面orgTag组织机构改为本客户系统数据源名称</w:t>
      </w:r>
    </w:p>
    <w:p w14:paraId="7EC19BB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675" cy="2523490"/>
            <wp:effectExtent l="0" t="0" r="3175" b="10160"/>
            <wp:docPr id="11" name="图片 11" descr="1734921325644_060C73E4-DD7D-4d48-8D88-AC2068B87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734921325644_060C73E4-DD7D-4d48-8D88-AC2068B8768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5E50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最下面，外部设备访问中间件的端口，配置一个未被占用的端口号。</w:t>
      </w:r>
    </w:p>
    <w:p w14:paraId="3F79DCF4">
      <w:pPr>
        <w:rPr>
          <w:rFonts w:hint="eastAsia"/>
          <w:lang w:val="en-US" w:eastAsia="zh-CN"/>
        </w:rPr>
      </w:pPr>
    </w:p>
    <w:p w14:paraId="54F89E4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找到pipIrr-mw模块下的application-database.yml配置文件，并打开</w:t>
      </w:r>
    </w:p>
    <w:p w14:paraId="6BD07A9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0500" cy="2003425"/>
            <wp:effectExtent l="0" t="0" r="6350" b="15875"/>
            <wp:docPr id="12" name="图片 12" descr="1734921957699_C03550A1-836F-4afd-8409-1566726752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34921957699_C03550A1-836F-4afd-8409-1566726752E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5CC4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改成本客户系统的数据库名称。</w:t>
      </w:r>
    </w:p>
    <w:p w14:paraId="0C07492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210050" cy="3810000"/>
            <wp:effectExtent l="0" t="0" r="0" b="0"/>
            <wp:docPr id="13" name="图片 13" descr="1734922138244_86031D5D-CB47-4af6-97DA-B3951892EB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734922138244_86031D5D-CB47-4af6-97DA-B3951892EBD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9FC8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备份。</w:t>
      </w:r>
    </w:p>
    <w:p w14:paraId="5DB9B2BE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其他子模块配置</w:t>
      </w:r>
    </w:p>
    <w:p w14:paraId="2520DF4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找到其他模块下的application.yml，并打开。</w:t>
      </w:r>
    </w:p>
    <w:p w14:paraId="66E20CF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2974340"/>
            <wp:effectExtent l="0" t="0" r="7620" b="16510"/>
            <wp:docPr id="14" name="图片 14" descr="1734922403123_53AE1E10-860D-4fab-A0FE-30C4C11666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734922403123_53AE1E10-860D-4fab-A0FE-30C4C116666F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97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694E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新增本客户系统配置，其他子模块引入本客户系统数据源配置文件（所有其他子模块都需添加）。</w:t>
      </w:r>
    </w:p>
    <w:p w14:paraId="568BA4BC"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注意：几个客户系统就需要几个中间件，不同中间件打包需要更改配置文件后再打包，其他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子模块只需要打包一次。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B0711"/>
    <w:multiLevelType w:val="singleLevel"/>
    <w:tmpl w:val="F74B0711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C2AEA"/>
    <w:rsid w:val="5F5C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210" w:afterLines="0" w:afterAutospacing="0" w:line="576" w:lineRule="auto"/>
      <w:ind w:firstLine="0"/>
      <w:outlineLvl w:val="0"/>
    </w:pPr>
    <w:rPr>
      <w:rFonts w:asciiTheme="minorAscii" w:hAnsiTheme="minorAscii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93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2024-12-23T01:04:00Z</dcterms:created>
  <dc:creator>LX</dc:creator>
  <cp:lastModifiedBy>LX</cp:lastModifiedBy>
  <dcterms:modified xsi:type="dcterms:W3CDTF">2024-12-23T03:01:18Z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0CD8A80DEB80445AAF9DF6EC852D52D1_11</vt:lpwstr>
  </property>
</Properties>
</file>